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“爱心新城桥”第四届公益创投项目申报书</w:t>
      </w:r>
    </w:p>
    <w:tbl>
      <w:tblPr>
        <w:tblStyle w:val="2"/>
        <w:tblW w:w="97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584"/>
        <w:gridCol w:w="1032"/>
        <w:gridCol w:w="514"/>
        <w:gridCol w:w="1454"/>
        <w:gridCol w:w="1425"/>
        <w:gridCol w:w="271"/>
        <w:gridCol w:w="34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申请机构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注册状态</w:t>
            </w:r>
          </w:p>
        </w:tc>
        <w:tc>
          <w:tcPr>
            <w:tcW w:w="3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□注册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  <w:lang w:val="en-US" w:eastAsia="zh-CN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□备案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30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联系方式</w:t>
            </w:r>
          </w:p>
        </w:tc>
        <w:tc>
          <w:tcPr>
            <w:tcW w:w="3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E7E7E" w:themeFill="background1" w:themeFillShade="7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FFFFFF" w:themeColor="background1"/>
                <w:kern w:val="0"/>
                <w:szCs w:val="21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情况概述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（一）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（要求项目名称凝练、准确，观之便能够体现项目的核心内容）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（二）实施区域</w:t>
            </w:r>
          </w:p>
        </w:tc>
        <w:tc>
          <w:tcPr>
            <w:tcW w:w="81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新城桥街道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u w:val="none"/>
                <w:lang w:val="en-US" w:eastAsia="zh-CN"/>
              </w:rPr>
              <w:t>社区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（三）项目实施概述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（简要介绍项目覆盖人群，想要解决的问题以及解决的途径和办法）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（四）项目需求分析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（清晰界定服务对象，并提供其数量、基本特征、具体需求或问题状况等信息）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3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（五）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（本项目需要达成的目标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；目标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达成的可量化指标，需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要清晰、明确、可实现）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7070" w:themeFill="background2" w:themeFillShade="7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  <w:t>三、项目实施内容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（一）项目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（根据项目目标设计合理的项目活动，项目活动应与项目目标对应。描述项目活动的内容以及各活动的实施方案，讲清楚即可）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8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  <w:t>活动分为哪些类型，每类型的活动举行频次如何，预计服务哪些人群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如：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活动主题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活动内容：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15位服务对象提供上门服务，服务内容包括老年人心理关爱、血压测量。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活动频次：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每周一次，共计4次/月*12月=48次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预算：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10志愿者*12月*30元/月/人=3600元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（二）风险评估及预案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预估项目实施的潜在风险并提出应对措施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757070" w:themeFill="background2" w:themeFillShade="7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shd w:val="clear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shd w:val="clear"/>
              </w:rPr>
              <w:t>、项目团队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shd w:val="clear"/>
                <w:lang w:eastAsia="zh-CN"/>
              </w:rPr>
              <w:t>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项目分工</w:t>
            </w: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资格证书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...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9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757070" w:themeFill="background2" w:themeFillShade="7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、预算明细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资金用途</w:t>
            </w: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金额（请给出明细计算过程）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志愿者补贴</w:t>
            </w: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活动成本</w:t>
            </w: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……</w:t>
            </w: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申报合计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(元)</w:t>
            </w:r>
          </w:p>
        </w:tc>
        <w:tc>
          <w:tcPr>
            <w:tcW w:w="66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  <w:jc w:val="center"/>
        </w:trPr>
        <w:tc>
          <w:tcPr>
            <w:tcW w:w="97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备注：</w:t>
            </w:r>
          </w:p>
          <w:p>
            <w:pPr>
              <w:widowControl/>
              <w:spacing w:line="480" w:lineRule="exact"/>
              <w:ind w:firstLine="42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若在申报资金之外有其余配套资金，包括组织自有资金、社会募集资金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社区支持资金，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请在本栏说明资金来源、金额及主要用途。</w:t>
            </w:r>
          </w:p>
        </w:tc>
      </w:tr>
    </w:tbl>
    <w:p>
      <w:pPr>
        <w:widowControl/>
        <w:spacing w:line="480" w:lineRule="exact"/>
        <w:jc w:val="left"/>
        <w:rPr>
          <w:rFonts w:ascii="Times New Roman" w:hAnsi="Times New Roman"/>
          <w:b/>
        </w:rPr>
      </w:pPr>
    </w:p>
    <w:p>
      <w:pPr>
        <w:widowControl/>
        <w:spacing w:line="480" w:lineRule="exact"/>
        <w:jc w:val="left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  <w:highlight w:val="none"/>
        </w:rPr>
        <w:t xml:space="preserve">项目预算编制说明： </w:t>
      </w:r>
    </w:p>
    <w:p>
      <w:pPr>
        <w:widowControl/>
        <w:numPr>
          <w:ilvl w:val="0"/>
          <w:numId w:val="1"/>
        </w:numPr>
        <w:spacing w:line="480" w:lineRule="exact"/>
        <w:ind w:firstLine="420"/>
        <w:rPr>
          <w:rFonts w:ascii="Times New Roman" w:hAnsi="Times New Roman"/>
          <w:b/>
          <w:bCs/>
          <w:highlight w:val="none"/>
        </w:rPr>
      </w:pPr>
      <w:r>
        <w:rPr>
          <w:rFonts w:hint="eastAsia" w:ascii="Times New Roman" w:hAnsi="Times New Roman"/>
          <w:b/>
          <w:bCs/>
          <w:highlight w:val="none"/>
        </w:rPr>
        <w:t>预算总额</w:t>
      </w:r>
    </w:p>
    <w:p>
      <w:pPr>
        <w:widowControl/>
        <w:spacing w:line="48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</w:t>
      </w:r>
      <w:r>
        <w:rPr>
          <w:rFonts w:hint="eastAsia" w:ascii="Times New Roman" w:hAnsi="Times New Roman"/>
          <w:lang w:eastAsia="zh-CN"/>
        </w:rPr>
        <w:t>街道公益微创投类</w:t>
      </w:r>
      <w:r>
        <w:rPr>
          <w:rFonts w:hint="eastAsia" w:ascii="Times New Roman" w:hAnsi="Times New Roman"/>
        </w:rPr>
        <w:t>项目，申报资金总额不得高于</w:t>
      </w:r>
      <w:r>
        <w:rPr>
          <w:rFonts w:hint="eastAsia"/>
          <w:b/>
          <w:bCs/>
          <w:sz w:val="40"/>
          <w:szCs w:val="48"/>
          <w:lang w:val="en-US" w:eastAsia="zh-CN"/>
        </w:rPr>
        <w:t>2</w:t>
      </w:r>
      <w:r>
        <w:rPr>
          <w:rFonts w:hint="eastAsia" w:ascii="Times New Roman" w:hAnsi="Times New Roman"/>
        </w:rPr>
        <w:t>万元。</w:t>
      </w:r>
    </w:p>
    <w:p>
      <w:pPr>
        <w:widowControl/>
        <w:numPr>
          <w:ilvl w:val="0"/>
          <w:numId w:val="1"/>
        </w:numPr>
        <w:spacing w:line="480" w:lineRule="exact"/>
        <w:ind w:firstLine="420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预算用途解释：</w:t>
      </w:r>
    </w:p>
    <w:p>
      <w:pPr>
        <w:widowControl/>
        <w:spacing w:line="480" w:lineRule="exact"/>
        <w:ind w:firstLine="420" w:firstLineChars="200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/>
        </w:rPr>
        <w:t>（1）主要用于支持活动开展所需要的活动宣传费、材料费、志愿者费用、材料费以及必要的培训专家费</w:t>
      </w:r>
      <w:r>
        <w:rPr>
          <w:rFonts w:hint="eastAsia"/>
          <w:lang w:eastAsia="zh-CN"/>
        </w:rPr>
        <w:t>，支持社会组织在项目实施中所需的办公费用，如办公用品、通讯费、税费，</w:t>
      </w:r>
      <w:r>
        <w:rPr>
          <w:rFonts w:hint="eastAsia" w:ascii="Times New Roman" w:hAnsi="Times New Roman"/>
          <w:lang w:eastAsia="zh-CN"/>
        </w:rPr>
        <w:t>财务审计费</w:t>
      </w:r>
      <w:r>
        <w:rPr>
          <w:rFonts w:hint="eastAsia"/>
          <w:lang w:eastAsia="zh-CN"/>
        </w:rPr>
        <w:t>。</w:t>
      </w:r>
    </w:p>
    <w:p>
      <w:pPr>
        <w:widowControl/>
        <w:spacing w:line="48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（2）</w:t>
      </w:r>
      <w:r>
        <w:rPr>
          <w:rFonts w:ascii="Times New Roman" w:hAnsi="Times New Roman"/>
        </w:rPr>
        <w:t>服务支出应当用于受益对象和社会服务活动</w:t>
      </w:r>
      <w:r>
        <w:rPr>
          <w:rFonts w:hint="eastAsia" w:ascii="Times New Roman" w:hAnsi="Times New Roman"/>
        </w:rPr>
        <w:t>，</w:t>
      </w:r>
      <w:r>
        <w:rPr>
          <w:rFonts w:ascii="Times New Roman" w:hAnsi="Times New Roman"/>
        </w:rPr>
        <w:t>以受益对象和公益服务活动为基础编列预算</w:t>
      </w:r>
      <w:r>
        <w:rPr>
          <w:rFonts w:hint="eastAsia" w:ascii="Times New Roman" w:hAnsi="Times New Roman"/>
        </w:rPr>
        <w:t>；</w:t>
      </w:r>
    </w:p>
    <w:p>
      <w:pPr>
        <w:widowControl/>
        <w:spacing w:line="48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（3）所有预算设计应符合市场原则，且</w:t>
      </w:r>
      <w:r>
        <w:rPr>
          <w:rFonts w:ascii="Times New Roman" w:hAnsi="Times New Roman"/>
        </w:rPr>
        <w:t>不得在项目资金（申报资金）中列支</w:t>
      </w:r>
      <w:r>
        <w:rPr>
          <w:rFonts w:hint="eastAsia" w:ascii="Times New Roman" w:hAnsi="Times New Roman"/>
        </w:rPr>
        <w:t>任何形式的</w:t>
      </w:r>
      <w:r>
        <w:rPr>
          <w:rFonts w:ascii="Times New Roman" w:hAnsi="Times New Roman"/>
        </w:rPr>
        <w:t>固定资产购置费用。</w:t>
      </w:r>
    </w:p>
    <w:p>
      <w:pPr>
        <w:widowControl/>
        <w:numPr>
          <w:ilvl w:val="0"/>
          <w:numId w:val="1"/>
        </w:numPr>
        <w:spacing w:line="480" w:lineRule="exact"/>
        <w:ind w:firstLine="420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预算设置原则/标准：</w:t>
      </w:r>
    </w:p>
    <w:p>
      <w:pPr>
        <w:widowControl/>
        <w:numPr>
          <w:ilvl w:val="0"/>
          <w:numId w:val="2"/>
        </w:numPr>
        <w:spacing w:line="480" w:lineRule="exact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宣传费用：不得超过项目总预算的8%，可包括活动宣传单页、横幅、项目展架、项目计划手册、项目总结宣传手册等</w:t>
      </w:r>
      <w:r>
        <w:rPr>
          <w:rFonts w:hint="eastAsia"/>
          <w:lang w:eastAsia="zh-CN"/>
        </w:rPr>
        <w:t>；</w:t>
      </w:r>
    </w:p>
    <w:p>
      <w:pPr>
        <w:widowControl/>
        <w:numPr>
          <w:ilvl w:val="0"/>
          <w:numId w:val="2"/>
        </w:numPr>
        <w:spacing w:line="480" w:lineRule="exact"/>
        <w:ind w:firstLine="420" w:firstLineChars="200"/>
        <w:rPr>
          <w:rFonts w:ascii="Times New Roman" w:hAnsi="Times New Roman"/>
        </w:rPr>
      </w:pPr>
      <w:r>
        <w:rPr>
          <w:rFonts w:hint="eastAsia"/>
          <w:lang w:eastAsia="zh-CN"/>
        </w:rPr>
        <w:t>办公费用：不得超过项目总预算的</w:t>
      </w:r>
      <w:r>
        <w:rPr>
          <w:rFonts w:hint="eastAsia"/>
          <w:lang w:val="en-US" w:eastAsia="zh-CN"/>
        </w:rPr>
        <w:t>10%。</w:t>
      </w:r>
    </w:p>
    <w:p>
      <w:pPr>
        <w:widowControl/>
        <w:numPr>
          <w:ilvl w:val="0"/>
          <w:numId w:val="0"/>
        </w:numPr>
        <w:spacing w:line="480" w:lineRule="exact"/>
        <w:ind w:firstLine="42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 w:ascii="Times New Roman" w:hAnsi="Times New Roman"/>
        </w:rPr>
        <w:t>项目活动专家费：一般参照高级专业技术职称人员</w:t>
      </w:r>
      <w:r>
        <w:rPr>
          <w:rFonts w:hint="eastAsia"/>
          <w:lang w:val="en-US" w:eastAsia="zh-CN"/>
        </w:rPr>
        <w:t>5</w:t>
      </w:r>
      <w:r>
        <w:rPr>
          <w:rFonts w:hint="eastAsia" w:ascii="Times New Roman" w:hAnsi="Times New Roman"/>
        </w:rPr>
        <w:t>00-</w:t>
      </w:r>
      <w:r>
        <w:rPr>
          <w:rFonts w:hint="eastAsia"/>
          <w:lang w:val="en-US" w:eastAsia="zh-CN"/>
        </w:rPr>
        <w:t>8</w:t>
      </w:r>
      <w:r>
        <w:rPr>
          <w:rFonts w:hint="eastAsia" w:ascii="Times New Roman" w:hAnsi="Times New Roman"/>
        </w:rPr>
        <w:t>00元/人</w:t>
      </w:r>
      <w:r>
        <w:rPr>
          <w:rFonts w:hint="eastAsia" w:ascii="Times New Roman" w:hAnsi="Times New Roman"/>
          <w:lang w:val="en-US" w:eastAsia="zh-CN"/>
        </w:rPr>
        <w:t>/</w:t>
      </w:r>
      <w:r>
        <w:rPr>
          <w:rFonts w:hint="eastAsia" w:ascii="Times New Roman" w:hAnsi="Times New Roman"/>
        </w:rPr>
        <w:t>天、</w:t>
      </w:r>
      <w:r>
        <w:rPr>
          <w:rFonts w:hint="eastAsia" w:ascii="Times New Roman" w:hAnsi="Times New Roman"/>
          <w:lang w:eastAsia="zh-CN"/>
        </w:rPr>
        <w:t>中级专业技术职称</w:t>
      </w:r>
      <w:r>
        <w:rPr>
          <w:rFonts w:hint="eastAsia" w:ascii="Times New Roman" w:hAnsi="Times New Roman"/>
          <w:lang w:val="en-US" w:eastAsia="zh-CN"/>
        </w:rPr>
        <w:t>300-500元/人/天，</w:t>
      </w:r>
      <w:r>
        <w:rPr>
          <w:rFonts w:hint="eastAsia" w:ascii="Times New Roman" w:hAnsi="Times New Roman"/>
        </w:rPr>
        <w:t>一般</w:t>
      </w:r>
      <w:r>
        <w:rPr>
          <w:rFonts w:hint="eastAsia" w:ascii="Times New Roman" w:hAnsi="Times New Roman"/>
          <w:lang w:eastAsia="zh-CN"/>
        </w:rPr>
        <w:t>专业</w:t>
      </w:r>
      <w:r>
        <w:rPr>
          <w:rFonts w:hint="eastAsia" w:ascii="Times New Roman" w:hAnsi="Times New Roman"/>
        </w:rPr>
        <w:t>人员</w:t>
      </w:r>
      <w:r>
        <w:rPr>
          <w:rFonts w:hint="eastAsia"/>
          <w:lang w:val="en-US" w:eastAsia="zh-CN"/>
        </w:rPr>
        <w:t>150</w:t>
      </w:r>
      <w:r>
        <w:rPr>
          <w:rFonts w:hint="eastAsia" w:ascii="Times New Roman" w:hAnsi="Times New Roman"/>
        </w:rPr>
        <w:t>元/人天的标准执行。</w:t>
      </w:r>
    </w:p>
    <w:p>
      <w:pPr>
        <w:widowControl/>
        <w:numPr>
          <w:ilvl w:val="0"/>
          <w:numId w:val="0"/>
        </w:numPr>
        <w:spacing w:line="480" w:lineRule="exact"/>
        <w:ind w:firstLine="420" w:firstLineChars="200"/>
        <w:rPr>
          <w:rFonts w:hint="eastAsia" w:ascii="Times New Roman" w:hAnsi="Times New Roman" w:eastAsia="宋体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 w:ascii="Times New Roman" w:hAnsi="Times New Roman"/>
        </w:rPr>
        <w:t>志愿者补贴：</w:t>
      </w:r>
      <w:r>
        <w:rPr>
          <w:rFonts w:ascii="Times New Roman" w:hAnsi="Times New Roman"/>
        </w:rPr>
        <w:t>可列支</w:t>
      </w:r>
      <w:r>
        <w:rPr>
          <w:rFonts w:hint="eastAsia" w:ascii="Times New Roman" w:hAnsi="Times New Roman"/>
        </w:rPr>
        <w:t>活动志愿者补贴不超过30元/人</w:t>
      </w:r>
      <w:r>
        <w:rPr>
          <w:rFonts w:hint="eastAsia" w:ascii="Times New Roman" w:hAnsi="Times New Roman"/>
          <w:lang w:val="en-US" w:eastAsia="zh-CN"/>
        </w:rPr>
        <w:t>/半天</w:t>
      </w:r>
      <w:r>
        <w:rPr>
          <w:rFonts w:hint="eastAsia" w:ascii="Times New Roman" w:hAnsi="Times New Roman"/>
        </w:rPr>
        <w:t>，对于持续参与项目多个活动的志愿者，</w:t>
      </w:r>
      <w:r>
        <w:rPr>
          <w:rFonts w:hint="eastAsia" w:ascii="Times New Roman" w:hAnsi="Times New Roman"/>
          <w:b/>
          <w:bCs/>
        </w:rPr>
        <w:t>可考虑按月度或季度设置志愿者补贴</w:t>
      </w:r>
      <w:r>
        <w:rPr>
          <w:rFonts w:hint="eastAsia" w:ascii="Times New Roman" w:hAnsi="Times New Roman"/>
        </w:rPr>
        <w:t>，补贴标准设置应合理，符合相应要求。</w:t>
      </w:r>
      <w:r>
        <w:rPr>
          <w:rFonts w:ascii="Times New Roman" w:hAnsi="Times New Roman"/>
        </w:rPr>
        <w:t>项目执行单位应当</w:t>
      </w:r>
      <w:r>
        <w:rPr>
          <w:rFonts w:hint="eastAsia" w:ascii="Times New Roman" w:hAnsi="Times New Roman"/>
          <w:b/>
          <w:bCs/>
          <w:lang w:val="en-US" w:eastAsia="zh-CN"/>
        </w:rPr>
        <w:t>`</w:t>
      </w:r>
      <w:r>
        <w:rPr>
          <w:rFonts w:ascii="Times New Roman" w:hAnsi="Times New Roman"/>
        </w:rPr>
        <w:t>，劳务费支付表应列明领取人姓名、性别、身份证号码、联系电话、工作时间、劳务费金额、领取人员签字等内容。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79030"/>
    <w:multiLevelType w:val="singleLevel"/>
    <w:tmpl w:val="59B790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C3164C"/>
    <w:multiLevelType w:val="singleLevel"/>
    <w:tmpl w:val="59C3164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831D2"/>
    <w:rsid w:val="713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2021-10-21T09:19:00Z</dcterms:created>
  <dc:creator>亚瑟小姐姐</dc:creator>
  <cp:lastModifiedBy>亚瑟小姐姐</cp:lastModifiedBy>
  <dcterms:modified xsi:type="dcterms:W3CDTF">2021-10-21T09:19:38Z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5D90250A75F44294BB0A23C935566B0E</vt:lpwstr>
  </property>
</Properties>
</file>